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Gormsen Christopher Andrew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RLJ LODGING TRUST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7373 WISCONSIN AVE., SUITE 1500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BETHESDA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RLJ Lodging Trust</w:t>
              </w:r>
            </w:hyperlink>
            <w:r>
              <w:rPr/>
              <w:t xml:space="preserve"> [ </w:t>
            </w:r>
            <w:r>
              <w:rPr>
                <w:rFonts w:ascii="Times;serif" w:hAnsi="Times;serif"/>
                <w:color w:val="0000FF"/>
                <w:sz w:val="24"/>
                <w:shd w:fill="FFFFFF" w:val="clear"/>
              </w:rPr>
              <w:t>RLJ</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74"/>
        <w:gridCol w:w="456"/>
        <w:gridCol w:w="671"/>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05/06/2026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98,814</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8.78</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330,231</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restricted common shares, vesting ratably over three years on the yearly anniversary of the date of grant, were granted to the reporting person pursuant to the RLJ Lodging Trust 2026 Equity Incentive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Leslie D. Hale,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66546" TargetMode="External"/><Relationship Id="rId5" Type="http://schemas.openxmlformats.org/officeDocument/2006/relationships/hyperlink" Target="http://www.sec.gov/cgi-bin/browse-edgar?action=getcompany&amp;CIK=000151133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601</Words>
  <Characters>3269</Characters>
  <CharactersWithSpaces>3810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