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png" ContentType="image/png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jc w:val="center"/>
        <w:ind w:right="-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328930</wp:posOffset>
            </wp:positionV>
            <wp:extent cx="7132320" cy="2540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2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363220</wp:posOffset>
            </wp:positionV>
            <wp:extent cx="7132320" cy="88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UNITED STATES</w:t>
      </w:r>
    </w:p>
    <w:p>
      <w:pPr>
        <w:spacing w:after="0" w:line="36" w:lineRule="exact"/>
        <w:rPr>
          <w:sz w:val="24"/>
          <w:szCs w:val="24"/>
          <w:color w:val="auto"/>
        </w:rPr>
      </w:pPr>
    </w:p>
    <w:p>
      <w:pPr>
        <w:jc w:val="center"/>
        <w:ind w:right="-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3"/>
          <w:szCs w:val="23"/>
          <w:b w:val="1"/>
          <w:bCs w:val="1"/>
          <w:color w:val="auto"/>
        </w:rPr>
        <w:t>SECURITIES AND EXCHANGE COMMISSION</w:t>
      </w:r>
    </w:p>
    <w:p>
      <w:pPr>
        <w:spacing w:after="0" w:line="13" w:lineRule="exact"/>
        <w:rPr>
          <w:sz w:val="24"/>
          <w:szCs w:val="24"/>
          <w:color w:val="auto"/>
        </w:rPr>
      </w:pPr>
    </w:p>
    <w:p>
      <w:pPr>
        <w:jc w:val="center"/>
        <w:ind w:right="-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b w:val="1"/>
          <w:bCs w:val="1"/>
          <w:color w:val="auto"/>
        </w:rPr>
        <w:t>WASHINGTON, D.C. 20549</w:t>
      </w:r>
    </w:p>
    <w:p>
      <w:pPr>
        <w:spacing w:after="0" w:line="194" w:lineRule="exact"/>
        <w:rPr>
          <w:sz w:val="24"/>
          <w:szCs w:val="24"/>
          <w:color w:val="auto"/>
        </w:rPr>
      </w:pPr>
    </w:p>
    <w:p>
      <w:pPr>
        <w:jc w:val="center"/>
        <w:ind w:right="-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5"/>
          <w:szCs w:val="25"/>
          <w:b w:val="1"/>
          <w:bCs w:val="1"/>
          <w:color w:val="auto"/>
        </w:rPr>
        <w:t>SCHEDULE 14A</w:t>
      </w:r>
    </w:p>
    <w:p>
      <w:pPr>
        <w:spacing w:after="0" w:line="40" w:lineRule="exact"/>
        <w:rPr>
          <w:sz w:val="24"/>
          <w:szCs w:val="24"/>
          <w:color w:val="auto"/>
        </w:rPr>
      </w:pPr>
    </w:p>
    <w:p>
      <w:pPr>
        <w:jc w:val="center"/>
        <w:ind w:right="-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b w:val="1"/>
          <w:bCs w:val="1"/>
          <w:color w:val="auto"/>
        </w:rPr>
        <w:t>(Rule 14a-101)</w:t>
      </w:r>
    </w:p>
    <w:p>
      <w:pPr>
        <w:spacing w:after="0" w:line="201" w:lineRule="exact"/>
        <w:rPr>
          <w:sz w:val="24"/>
          <w:szCs w:val="24"/>
          <w:color w:val="auto"/>
        </w:rPr>
      </w:pPr>
    </w:p>
    <w:p>
      <w:pPr>
        <w:jc w:val="center"/>
        <w:ind w:left="3340" w:right="40"/>
        <w:spacing w:after="0" w:line="2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b w:val="1"/>
          <w:bCs w:val="1"/>
          <w:color w:val="auto"/>
        </w:rPr>
        <w:t>PROXY STATEMENT PURSUANT TO SECTION 14(a) OF THE SECURITIES EXCHANGE ACT OF 1934 (AMENDMENT NO.  )</w:t>
      </w:r>
    </w:p>
    <w:p>
      <w:pPr>
        <w:spacing w:after="0" w:line="175" w:lineRule="exact"/>
        <w:rPr>
          <w:sz w:val="24"/>
          <w:szCs w:val="24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Filed by the Registrant þ</w:t>
      </w:r>
    </w:p>
    <w:p>
      <w:pPr>
        <w:spacing w:after="0" w:line="22" w:lineRule="exact"/>
        <w:rPr>
          <w:sz w:val="24"/>
          <w:szCs w:val="24"/>
          <w:color w:val="auto"/>
        </w:rPr>
      </w:pPr>
    </w:p>
    <w:p>
      <w:pPr>
        <w:spacing w:after="0" w:line="207" w:lineRule="exact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 xml:space="preserve">Filed by a Party other than the Registrant </w:t>
      </w:r>
      <w:r>
        <w:rPr>
          <w:rFonts w:ascii="MS PGothic" w:cs="MS PGothic" w:eastAsia="MS PGothic" w:hAnsi="MS PGothic"/>
          <w:sz w:val="18"/>
          <w:szCs w:val="18"/>
          <w:color w:val="auto"/>
        </w:rPr>
        <w:t>☐</w:t>
      </w:r>
    </w:p>
    <w:p>
      <w:pPr>
        <w:spacing w:after="0" w:line="16" w:lineRule="exact"/>
        <w:rPr>
          <w:sz w:val="24"/>
          <w:szCs w:val="24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Check the appropriate box:</w:t>
      </w:r>
    </w:p>
    <w:p>
      <w:pPr>
        <w:spacing w:after="0" w:line="2" w:lineRule="exact"/>
        <w:rPr>
          <w:sz w:val="24"/>
          <w:szCs w:val="24"/>
          <w:color w:val="auto"/>
        </w:rPr>
      </w:pPr>
    </w:p>
    <w:p>
      <w:pPr>
        <w:ind w:left="440" w:hanging="432"/>
        <w:spacing w:after="0"/>
        <w:tabs>
          <w:tab w:leader="none" w:pos="440" w:val="left"/>
        </w:tabs>
        <w:numPr>
          <w:ilvl w:val="0"/>
          <w:numId w:val="1"/>
        </w:numPr>
        <w:rPr>
          <w:rFonts w:ascii="MS PGothic" w:cs="MS PGothic" w:eastAsia="MS PGothic" w:hAnsi="MS PGothic"/>
          <w:sz w:val="18"/>
          <w:szCs w:val="18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Preliminary Proxy Statement</w:t>
      </w:r>
    </w:p>
    <w:p>
      <w:pPr>
        <w:spacing w:after="0" w:line="15" w:lineRule="exact"/>
        <w:rPr>
          <w:rFonts w:ascii="MS PGothic" w:cs="MS PGothic" w:eastAsia="MS PGothic" w:hAnsi="MS PGothic"/>
          <w:sz w:val="18"/>
          <w:szCs w:val="18"/>
          <w:color w:val="auto"/>
        </w:rPr>
      </w:pPr>
    </w:p>
    <w:p>
      <w:pPr>
        <w:ind w:left="440" w:hanging="432"/>
        <w:spacing w:after="0"/>
        <w:tabs>
          <w:tab w:leader="none" w:pos="440" w:val="left"/>
        </w:tabs>
        <w:numPr>
          <w:ilvl w:val="0"/>
          <w:numId w:val="1"/>
        </w:numPr>
        <w:rPr>
          <w:rFonts w:ascii="MS PGothic" w:cs="MS PGothic" w:eastAsia="MS PGothic" w:hAnsi="MS PGothic"/>
          <w:sz w:val="18"/>
          <w:szCs w:val="18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Confidential, for Use of the Commission Only (as permitted by Rule14a-6(e)(2))</w:t>
      </w:r>
    </w:p>
    <w:p>
      <w:pPr>
        <w:spacing w:after="0" w:line="9" w:lineRule="exact"/>
        <w:rPr>
          <w:rFonts w:ascii="MS PGothic" w:cs="MS PGothic" w:eastAsia="MS PGothic" w:hAnsi="MS PGothic"/>
          <w:sz w:val="18"/>
          <w:szCs w:val="18"/>
          <w:color w:val="auto"/>
        </w:rPr>
      </w:pPr>
    </w:p>
    <w:p>
      <w:pPr>
        <w:ind w:left="440" w:hanging="432"/>
        <w:spacing w:after="0"/>
        <w:tabs>
          <w:tab w:leader="none" w:pos="440" w:val="left"/>
        </w:tabs>
        <w:numPr>
          <w:ilvl w:val="0"/>
          <w:numId w:val="1"/>
        </w:numPr>
        <w:rPr>
          <w:rFonts w:ascii="MS PGothic" w:cs="MS PGothic" w:eastAsia="MS PGothic" w:hAnsi="MS PGothic"/>
          <w:sz w:val="18"/>
          <w:szCs w:val="18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Definitive Proxy Statement</w:t>
      </w:r>
    </w:p>
    <w:p>
      <w:pPr>
        <w:spacing w:after="0" w:line="9" w:lineRule="exact"/>
        <w:rPr>
          <w:sz w:val="24"/>
          <w:szCs w:val="24"/>
          <w:color w:val="auto"/>
        </w:rPr>
      </w:pPr>
    </w:p>
    <w:p>
      <w:pPr>
        <w:ind w:left="360" w:hanging="352"/>
        <w:spacing w:after="0"/>
        <w:tabs>
          <w:tab w:leader="none" w:pos="360" w:val="left"/>
        </w:tabs>
        <w:numPr>
          <w:ilvl w:val="0"/>
          <w:numId w:val="2"/>
        </w:numPr>
        <w:rPr>
          <w:rFonts w:ascii="Times New Roman" w:cs="Times New Roman" w:eastAsia="Times New Roman" w:hAnsi="Times New Roman"/>
          <w:sz w:val="18"/>
          <w:szCs w:val="18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Definitive Additional Materials</w:t>
      </w:r>
    </w:p>
    <w:p>
      <w:pPr>
        <w:spacing w:after="0" w:line="2" w:lineRule="exact"/>
        <w:rPr>
          <w:sz w:val="24"/>
          <w:szCs w:val="24"/>
          <w:color w:val="auto"/>
        </w:rPr>
      </w:pPr>
    </w:p>
    <w:p>
      <w:pPr>
        <w:ind w:left="440" w:hanging="432"/>
        <w:spacing w:after="0"/>
        <w:tabs>
          <w:tab w:leader="none" w:pos="440" w:val="left"/>
        </w:tabs>
        <w:numPr>
          <w:ilvl w:val="0"/>
          <w:numId w:val="3"/>
        </w:numPr>
        <w:rPr>
          <w:rFonts w:ascii="MS PGothic" w:cs="MS PGothic" w:eastAsia="MS PGothic" w:hAnsi="MS PGothic"/>
          <w:sz w:val="18"/>
          <w:szCs w:val="18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Soliciting Material Pursuant to Rule 14a-12</w:t>
      </w:r>
    </w:p>
    <w:p>
      <w:pPr>
        <w:spacing w:after="0" w:line="207" w:lineRule="exact"/>
        <w:rPr>
          <w:sz w:val="24"/>
          <w:szCs w:val="24"/>
          <w:color w:val="auto"/>
        </w:rPr>
      </w:pPr>
    </w:p>
    <w:p>
      <w:pPr>
        <w:jc w:val="center"/>
        <w:ind w:right="-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5"/>
          <w:szCs w:val="25"/>
          <w:color w:val="auto"/>
        </w:rPr>
        <w:t>RLJ LODGING TRUST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5080</wp:posOffset>
            </wp:positionH>
            <wp:positionV relativeFrom="paragraph">
              <wp:posOffset>20320</wp:posOffset>
            </wp:positionV>
            <wp:extent cx="7132320" cy="889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24" w:lineRule="exact"/>
        <w:rPr>
          <w:sz w:val="24"/>
          <w:szCs w:val="24"/>
          <w:color w:val="auto"/>
        </w:rPr>
      </w:pPr>
    </w:p>
    <w:p>
      <w:pPr>
        <w:jc w:val="center"/>
        <w:ind w:right="-11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(Name of Registrant as Specified in its Charter)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5080</wp:posOffset>
            </wp:positionH>
            <wp:positionV relativeFrom="paragraph">
              <wp:posOffset>154305</wp:posOffset>
            </wp:positionV>
            <wp:extent cx="7132320" cy="825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32" w:lineRule="exact"/>
        <w:rPr>
          <w:sz w:val="24"/>
          <w:szCs w:val="24"/>
          <w:color w:val="auto"/>
        </w:rPr>
      </w:pPr>
    </w:p>
    <w:p>
      <w:pPr>
        <w:ind w:left="3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7"/>
          <w:szCs w:val="17"/>
          <w:color w:val="auto"/>
        </w:rPr>
        <w:t>(Name of Person(s) Filing Proxy Statement, if other than the Registrant)</w:t>
      </w:r>
    </w:p>
    <w:p>
      <w:pPr>
        <w:spacing w:after="0" w:line="237" w:lineRule="exact"/>
        <w:rPr>
          <w:sz w:val="24"/>
          <w:szCs w:val="24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Payment of Filing Fee (Check all boxes that apply):</w:t>
      </w:r>
    </w:p>
    <w:p>
      <w:pPr>
        <w:spacing w:after="0" w:line="27" w:lineRule="exact"/>
        <w:rPr>
          <w:sz w:val="24"/>
          <w:szCs w:val="24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þ No fee required</w:t>
      </w:r>
    </w:p>
    <w:p>
      <w:pPr>
        <w:spacing w:after="0" w:line="207" w:lineRule="exact"/>
        <w:rPr>
          <w:sz w:val="24"/>
          <w:szCs w:val="24"/>
          <w:color w:val="auto"/>
        </w:rPr>
      </w:pPr>
    </w:p>
    <w:p>
      <w:pPr>
        <w:ind w:left="220" w:hanging="212"/>
        <w:spacing w:after="0"/>
        <w:tabs>
          <w:tab w:leader="none" w:pos="220" w:val="left"/>
        </w:tabs>
        <w:numPr>
          <w:ilvl w:val="0"/>
          <w:numId w:val="4"/>
        </w:numPr>
        <w:rPr>
          <w:rFonts w:ascii="MS PGothic" w:cs="MS PGothic" w:eastAsia="MS PGothic" w:hAnsi="MS PGothic"/>
          <w:sz w:val="18"/>
          <w:szCs w:val="18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Fee paid previously with preliminary materials</w:t>
      </w:r>
    </w:p>
    <w:p>
      <w:pPr>
        <w:spacing w:after="0" w:line="225" w:lineRule="exact"/>
        <w:rPr>
          <w:rFonts w:ascii="MS PGothic" w:cs="MS PGothic" w:eastAsia="MS PGothic" w:hAnsi="MS PGothic"/>
          <w:sz w:val="18"/>
          <w:szCs w:val="18"/>
          <w:color w:val="auto"/>
        </w:rPr>
      </w:pPr>
    </w:p>
    <w:p>
      <w:pPr>
        <w:ind w:left="220" w:hanging="212"/>
        <w:spacing w:after="0"/>
        <w:tabs>
          <w:tab w:leader="none" w:pos="220" w:val="left"/>
        </w:tabs>
        <w:numPr>
          <w:ilvl w:val="0"/>
          <w:numId w:val="4"/>
        </w:numPr>
        <w:rPr>
          <w:rFonts w:ascii="MS PGothic" w:cs="MS PGothic" w:eastAsia="MS PGothic" w:hAnsi="MS PGothic"/>
          <w:sz w:val="18"/>
          <w:szCs w:val="18"/>
          <w:color w:val="auto"/>
        </w:rPr>
      </w:pPr>
      <w:r>
        <w:rPr>
          <w:rFonts w:ascii="Times New Roman" w:cs="Times New Roman" w:eastAsia="Times New Roman" w:hAnsi="Times New Roman"/>
          <w:sz w:val="18"/>
          <w:szCs w:val="18"/>
          <w:color w:val="auto"/>
        </w:rPr>
        <w:t>Fee computed on table in exhibit required by Item 25(b) per Exchange Act Rules 14a-6(i)(1) and 0-11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5080</wp:posOffset>
            </wp:positionH>
            <wp:positionV relativeFrom="paragraph">
              <wp:posOffset>188595</wp:posOffset>
            </wp:positionV>
            <wp:extent cx="7132320" cy="254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2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5080</wp:posOffset>
            </wp:positionH>
            <wp:positionV relativeFrom="paragraph">
              <wp:posOffset>222885</wp:posOffset>
            </wp:positionV>
            <wp:extent cx="7132320" cy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5080</wp:posOffset>
            </wp:positionH>
            <wp:positionV relativeFrom="paragraph">
              <wp:posOffset>694690</wp:posOffset>
            </wp:positionV>
            <wp:extent cx="7132320" cy="88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0" w:num="1">
            <w:col w:w="10139"/>
          </w:cols>
          <w:pgMar w:left="320" w:top="819" w:right="1440" w:bottom="1440" w:gutter="0" w:footer="0" w:header="0"/>
        </w:sectPr>
      </w:pPr>
    </w:p>
    <w:bookmarkStart w:id="1" w:name="page2"/>
    <w:bookmarkEnd w:id="1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586105</wp:posOffset>
            </wp:positionV>
            <wp:extent cx="7132320" cy="510921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" w:name="page3"/>
    <w:bookmarkEnd w:id="2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3" w:name="page4"/>
    <w:bookmarkEnd w:id="3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4" w:name="page5"/>
    <w:bookmarkEnd w:id="4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5" w:name="page6"/>
    <w:bookmarkEnd w:id="5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6" w:name="page7"/>
    <w:bookmarkEnd w:id="6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5558155</wp:posOffset>
            </wp:positionV>
            <wp:extent cx="7132320" cy="825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7" w:name="page8"/>
    <w:bookmarkEnd w:id="7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8" w:name="page9"/>
    <w:bookmarkEnd w:id="8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9" w:name="page10"/>
    <w:bookmarkEnd w:id="9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1746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1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0" w:name="page11"/>
    <w:bookmarkEnd w:id="10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1" w:name="page12"/>
    <w:bookmarkEnd w:id="11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2" w:name="page13"/>
    <w:bookmarkEnd w:id="12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181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1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3" w:name="page14"/>
    <w:bookmarkEnd w:id="13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4" w:name="page15"/>
    <w:bookmarkEnd w:id="14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5" w:name="page16"/>
    <w:bookmarkEnd w:id="15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6" w:name="page17"/>
    <w:bookmarkEnd w:id="16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1746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1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7" w:name="page18"/>
    <w:bookmarkEnd w:id="17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8" w:name="page19"/>
    <w:bookmarkEnd w:id="18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19" w:name="page20"/>
    <w:bookmarkEnd w:id="19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181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1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0" w:name="page21"/>
    <w:bookmarkEnd w:id="20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0921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bookmarkStart w:id="21" w:name="page22"/>
    <w:bookmarkEnd w:id="21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208280</wp:posOffset>
            </wp:positionH>
            <wp:positionV relativeFrom="page">
              <wp:posOffset>448945</wp:posOffset>
            </wp:positionV>
            <wp:extent cx="7132320" cy="511810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11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4002009F" w:csb1="DFD70000"/>
  </w:font>
</w:fonts>
</file>

<file path=word/numbering.xml><?xml version="1.0" encoding="utf-8"?>
<w:numbering xmlns:w="http://schemas.openxmlformats.org/wordprocessingml/2006/main">
  <w:abstractNum w:abstractNumId="0">
    <w:nsid w:val="74B0DC51"/>
    <w:multiLevelType w:val="hybridMultilevel"/>
    <w:lvl w:ilvl="0">
      <w:lvlJc w:val="left"/>
      <w:lvlText w:val="☐"/>
      <w:numFmt w:val="bullet"/>
      <w:start w:val="1"/>
    </w:lvl>
  </w:abstractNum>
  <w:abstractNum w:abstractNumId="1">
    <w:nsid w:val="19495CFF"/>
    <w:multiLevelType w:val="hybridMultilevel"/>
    <w:lvl w:ilvl="0">
      <w:lvlJc w:val="left"/>
      <w:lvlText w:val="þ"/>
      <w:numFmt w:val="bullet"/>
      <w:start w:val="1"/>
    </w:lvl>
  </w:abstractNum>
  <w:abstractNum w:abstractNumId="2">
    <w:nsid w:val="2AE8944A"/>
    <w:multiLevelType w:val="hybridMultilevel"/>
    <w:lvl w:ilvl="0">
      <w:lvlJc w:val="left"/>
      <w:lvlText w:val="☐"/>
      <w:numFmt w:val="bullet"/>
      <w:start w:val="1"/>
    </w:lvl>
  </w:abstractNum>
  <w:abstractNum w:abstractNumId="3">
    <w:nsid w:val="625558EC"/>
    <w:multiLevelType w:val="hybridMultilevel"/>
    <w:lvl w:ilvl="0">
      <w:lvlJc w:val="left"/>
      <w:lvlText w:val="☐"/>
      <w:numFmt w:val="bullet"/>
      <w:start w:val="1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7" Type="http://schemas.openxmlformats.org/officeDocument/2006/relationships/numbering" Target="numbering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2022-04-14T13:01:25Z</dcterms:created>
  <dcterms:modified xsi:type="dcterms:W3CDTF">2022-04-14T13:01:25Z</dcterms:modified>
</cp:coreProperties>
</file>